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07F8" w14:textId="77777777" w:rsidR="0047799F" w:rsidRDefault="00000000">
      <w:pPr>
        <w:pStyle w:val="Ttulo1"/>
      </w:pPr>
      <w:bookmarkStart w:id="0" w:name="front_antiinperialist"/>
      <w:r>
        <w:t>Front_AntiInperialist</w:t>
      </w:r>
    </w:p>
    <w:p w14:paraId="3BE1A423" w14:textId="77777777" w:rsidR="0047799F" w:rsidRDefault="00000000">
      <w:r>
        <w:pict w14:anchorId="2CB453A0">
          <v:rect id="_x0000_i1025" style="width:0;height:1.5pt" o:hralign="center" o:hrstd="t" o:hr="t"/>
        </w:pict>
      </w:r>
    </w:p>
    <w:p w14:paraId="5A62B40C" w14:textId="77777777" w:rsidR="0047799F" w:rsidRDefault="00000000">
      <w:pPr>
        <w:pStyle w:val="Textodebloque"/>
      </w:pPr>
      <w:r>
        <w:t>Fecha y hora: 2026-07-06 10:20:09</w:t>
      </w:r>
      <w:r>
        <w:br/>
        <w:t>Ubicación: Barcelona</w:t>
      </w:r>
      <w:r>
        <w:br/>
        <w:t>Instructor: Siran</w:t>
      </w:r>
    </w:p>
    <w:p w14:paraId="17A20854" w14:textId="77777777" w:rsidR="0047799F" w:rsidRDefault="00000000">
      <w:pPr>
        <w:pStyle w:val="Ttulo2"/>
      </w:pPr>
      <w:bookmarkStart w:id="1" w:name="resumen"/>
      <w:r>
        <w:t>Resumen</w:t>
      </w:r>
    </w:p>
    <w:p w14:paraId="3E263B6F" w14:textId="77777777" w:rsidR="0047799F" w:rsidRDefault="00000000">
      <w:pPr>
        <w:pStyle w:val="FirstParagraph"/>
      </w:pPr>
      <w:r>
        <w:t>El 2026-07-06, en Barcelona, se realizó una intervención centrada en denunciar el imperialismo y a la OTAN como arquitectura de guerra global, con énfasis en la próxima cumbre de la OTAN en Turquía y la transformación de este país en un nodo estratégico de proyección de poder. Se señaló la militarización, la represión interna y la integración de formas de dominación (económica, tecnológica, energética y cultural), vinculando el genocidio en Palestina y el sionismo con la estructura imperialista. Se llamó a articular un frente internacional antiimperialista, cerrar bases de la OTAN, retirar fuerzas imperialistas, reconocer la autodeterminación de los pueblos y organizar la resistencia desde distintos territorios y sectores sociales. Al final, se presentó al ponente Taher Ali del País Vasco, de la Asociación/Ateneo Palestino en Euskal Herria, abriendo una ronda de preguntas.</w:t>
      </w:r>
    </w:p>
    <w:p w14:paraId="5BC2DEA6" w14:textId="77777777" w:rsidR="0047799F" w:rsidRDefault="00000000">
      <w:pPr>
        <w:pStyle w:val="Ttulo2"/>
      </w:pPr>
      <w:bookmarkStart w:id="2" w:name="puntos-de-conocimiento"/>
      <w:bookmarkEnd w:id="1"/>
      <w:r>
        <w:t>Puntos de conocimiento</w:t>
      </w:r>
    </w:p>
    <w:p w14:paraId="5DE47187" w14:textId="77777777" w:rsidR="0047799F" w:rsidRDefault="00000000">
      <w:pPr>
        <w:pStyle w:val="Ttulo3"/>
      </w:pPr>
      <w:bookmarkStart w:id="3" w:name="X2bcf154c488f44610d2780c58be3db5c11b3339"/>
      <w:r>
        <w:t>1. Naturaleza y objetivos de la OTAN e imperialismo</w:t>
      </w:r>
    </w:p>
    <w:p w14:paraId="1FE41F1D" w14:textId="77777777" w:rsidR="0047799F" w:rsidRDefault="00000000">
      <w:pPr>
        <w:numPr>
          <w:ilvl w:val="0"/>
          <w:numId w:val="6"/>
        </w:numPr>
      </w:pPr>
      <w:r>
        <w:t>Concepto de seguridad como agresión permanente</w:t>
      </w:r>
    </w:p>
    <w:p w14:paraId="0D8A5190" w14:textId="77777777" w:rsidR="0047799F" w:rsidRDefault="00000000">
      <w:pPr>
        <w:pStyle w:val="Compact"/>
        <w:numPr>
          <w:ilvl w:val="1"/>
          <w:numId w:val="7"/>
        </w:numPr>
      </w:pPr>
      <w:r>
        <w:t>La “seguridad” que proclama la OTAN se describe como la expansión de un sistema de agresión permanente orientado a intimidar Estados independientes y movimientos resistentes mediante miedo, masacres y sanciones.</w:t>
      </w:r>
    </w:p>
    <w:p w14:paraId="0E67B35E" w14:textId="77777777" w:rsidR="0047799F" w:rsidRDefault="00000000">
      <w:pPr>
        <w:pStyle w:val="Compact"/>
        <w:numPr>
          <w:ilvl w:val="1"/>
          <w:numId w:val="7"/>
        </w:numPr>
      </w:pPr>
      <w:r>
        <w:t>Se afirma que la OTAN no es defensiva; es la expresión militar organizada del imperialismo contemporáneo, coordinando guerras, sanciones, operaciones de cambio de régimen y guerras subsidiarias dirigidas por Estados Unidos y aliados.</w:t>
      </w:r>
    </w:p>
    <w:p w14:paraId="3B58DD83" w14:textId="77777777" w:rsidR="0047799F" w:rsidRDefault="00000000">
      <w:pPr>
        <w:numPr>
          <w:ilvl w:val="0"/>
          <w:numId w:val="7"/>
        </w:numPr>
      </w:pPr>
      <w:r>
        <w:t>Arquitectura militar y geoestrategia de la cumbre en Turquía</w:t>
      </w:r>
    </w:p>
    <w:p w14:paraId="5B36C58D" w14:textId="77777777" w:rsidR="0047799F" w:rsidRDefault="00000000">
      <w:pPr>
        <w:pStyle w:val="Compact"/>
        <w:numPr>
          <w:ilvl w:val="1"/>
          <w:numId w:val="8"/>
        </w:numPr>
      </w:pPr>
      <w:r>
        <w:t>La cumbre de la OTAN en Turquía se presenta como marco de estabilidad, pero se denuncia que consolida una arquitectura opresora que conecta Europa, Asia Occidental, el Cáucaso y África.</w:t>
      </w:r>
    </w:p>
    <w:p w14:paraId="5F459FB1" w14:textId="77777777" w:rsidR="0047799F" w:rsidRDefault="00000000">
      <w:pPr>
        <w:pStyle w:val="Compact"/>
        <w:numPr>
          <w:ilvl w:val="1"/>
          <w:numId w:val="8"/>
        </w:numPr>
      </w:pPr>
      <w:r>
        <w:t>Se menciona el plan de establecer un nuevo cuerpo y un centro de operaciones en Turquía, con más de 22.000 soldados y material de guerra avanzado, indicando una escalada y coordinación de un sistema de guerra mundial.</w:t>
      </w:r>
    </w:p>
    <w:p w14:paraId="0D0C319B" w14:textId="77777777" w:rsidR="0047799F" w:rsidRDefault="00000000">
      <w:pPr>
        <w:numPr>
          <w:ilvl w:val="0"/>
          <w:numId w:val="8"/>
        </w:numPr>
      </w:pPr>
      <w:r>
        <w:t>Instrumentos de dominación más allá de la guerra directa</w:t>
      </w:r>
    </w:p>
    <w:p w14:paraId="27D7B4CB" w14:textId="77777777" w:rsidR="0047799F" w:rsidRDefault="00000000">
      <w:pPr>
        <w:pStyle w:val="Compact"/>
        <w:numPr>
          <w:ilvl w:val="1"/>
          <w:numId w:val="9"/>
        </w:numPr>
      </w:pPr>
      <w:r>
        <w:t>Cuando la invasión directa no es posible, se recurre a sanciones económicas, desestabilización política y guerras subsidiarias, manteniendo la misma función de dominación.</w:t>
      </w:r>
    </w:p>
    <w:p w14:paraId="193F8D0A" w14:textId="77777777" w:rsidR="0047799F" w:rsidRDefault="00000000">
      <w:pPr>
        <w:pStyle w:val="Compact"/>
        <w:numPr>
          <w:ilvl w:val="1"/>
          <w:numId w:val="9"/>
        </w:numPr>
      </w:pPr>
      <w:r>
        <w:t>Se impone dependencia financiera, tecnológica, energética y cultural, con mecanismos centralizadores para impedir desarrollos independientes fuera de la acumulación capitalista dominada por el imperialismo.</w:t>
      </w:r>
    </w:p>
    <w:p w14:paraId="36128270" w14:textId="77777777" w:rsidR="0047799F" w:rsidRDefault="00000000">
      <w:pPr>
        <w:numPr>
          <w:ilvl w:val="0"/>
          <w:numId w:val="9"/>
        </w:numPr>
      </w:pPr>
      <w:r>
        <w:t>Militarización interna y control social</w:t>
      </w:r>
    </w:p>
    <w:p w14:paraId="7F22D94D" w14:textId="77777777" w:rsidR="0047799F" w:rsidRDefault="00000000">
      <w:pPr>
        <w:pStyle w:val="Compact"/>
        <w:numPr>
          <w:ilvl w:val="1"/>
          <w:numId w:val="10"/>
        </w:numPr>
      </w:pPr>
      <w:r>
        <w:lastRenderedPageBreak/>
        <w:t>La lógica de guerra requiere control doméstico: vigilancia, criminalización de la disidencia, marcos “antiterroristas” y restricción de libertades políticas, construyendo estados de seguridad y represión.</w:t>
      </w:r>
    </w:p>
    <w:p w14:paraId="76F75E46" w14:textId="77777777" w:rsidR="0047799F" w:rsidRDefault="00000000">
      <w:pPr>
        <w:pStyle w:val="Compact"/>
        <w:numPr>
          <w:ilvl w:val="1"/>
          <w:numId w:val="10"/>
        </w:numPr>
      </w:pPr>
      <w:r>
        <w:t>El sistema promueve jerarquías, no tolera autonomías, y trata cualquier intento de soberanía económica, política o estratégica como amenaza.</w:t>
      </w:r>
    </w:p>
    <w:p w14:paraId="0AE894A6" w14:textId="77777777" w:rsidR="0047799F" w:rsidRDefault="00000000">
      <w:pPr>
        <w:pStyle w:val="Ttulo3"/>
      </w:pPr>
      <w:bookmarkStart w:id="4" w:name="Xae8d990eb1ab6036da7cc893a09e545434933d4"/>
      <w:bookmarkEnd w:id="3"/>
      <w:r>
        <w:t>2. Palestina y el sionismo dentro del orden imperialista</w:t>
      </w:r>
    </w:p>
    <w:p w14:paraId="179B6977" w14:textId="77777777" w:rsidR="0047799F" w:rsidRDefault="00000000">
      <w:pPr>
        <w:numPr>
          <w:ilvl w:val="0"/>
          <w:numId w:val="11"/>
        </w:numPr>
      </w:pPr>
      <w:r>
        <w:t>Palestina como frente central de resistencia</w:t>
      </w:r>
    </w:p>
    <w:p w14:paraId="4029C6CF" w14:textId="77777777" w:rsidR="0047799F" w:rsidRDefault="00000000">
      <w:pPr>
        <w:pStyle w:val="Compact"/>
        <w:numPr>
          <w:ilvl w:val="1"/>
          <w:numId w:val="12"/>
        </w:numPr>
      </w:pPr>
      <w:r>
        <w:t>El genocidio en Palestina se presenta como expresión clara del orden imperialista; el sionismo como acto de imperialismo en Asia Occidental, alineado con la arquitectura y poderes de la OTAN.</w:t>
      </w:r>
    </w:p>
    <w:p w14:paraId="1DBCBF1B" w14:textId="77777777" w:rsidR="0047799F" w:rsidRDefault="00000000">
      <w:pPr>
        <w:pStyle w:val="Compact"/>
        <w:numPr>
          <w:ilvl w:val="1"/>
          <w:numId w:val="12"/>
        </w:numPr>
      </w:pPr>
      <w:r>
        <w:t>El sistema que arma a Israel es el mismo que expande la OTAN; por tanto, Palestina no es cuestión separada sino central en la resistencia contra el imperialismo.</w:t>
      </w:r>
    </w:p>
    <w:p w14:paraId="6CFC225B" w14:textId="77777777" w:rsidR="0047799F" w:rsidRDefault="00000000">
      <w:pPr>
        <w:numPr>
          <w:ilvl w:val="0"/>
          <w:numId w:val="12"/>
        </w:numPr>
      </w:pPr>
      <w:r>
        <w:t>Solidaridad y lucha internacionalista</w:t>
      </w:r>
    </w:p>
    <w:p w14:paraId="1FBEFC10" w14:textId="77777777" w:rsidR="0047799F" w:rsidRDefault="00000000">
      <w:pPr>
        <w:pStyle w:val="Compact"/>
        <w:numPr>
          <w:ilvl w:val="1"/>
          <w:numId w:val="13"/>
        </w:numPr>
      </w:pPr>
      <w:r>
        <w:t>Se exige solidaridad con el pueblo palestino y su resistencia, articulando la lucha como parte de un frente internacional que conecta múltiples geografías (Gaza, Anatolia, Donbás, Sahel, América Latina).</w:t>
      </w:r>
    </w:p>
    <w:p w14:paraId="7CD8C727" w14:textId="77777777" w:rsidR="0047799F" w:rsidRDefault="00000000">
      <w:pPr>
        <w:pStyle w:val="Ttulo3"/>
      </w:pPr>
      <w:bookmarkStart w:id="5" w:name="Xd5ba40bd665a91da2eb981a090ab0e1b8dbbf5e"/>
      <w:bookmarkEnd w:id="4"/>
      <w:r>
        <w:t>3. Crisis del imperialismo y expansión agresiva</w:t>
      </w:r>
    </w:p>
    <w:p w14:paraId="235D1F1A" w14:textId="77777777" w:rsidR="0047799F" w:rsidRDefault="00000000">
      <w:pPr>
        <w:numPr>
          <w:ilvl w:val="0"/>
          <w:numId w:val="14"/>
        </w:numPr>
      </w:pPr>
      <w:r>
        <w:t>Razones de la expansión</w:t>
      </w:r>
    </w:p>
    <w:p w14:paraId="467EECB4" w14:textId="77777777" w:rsidR="0047799F" w:rsidRDefault="00000000">
      <w:pPr>
        <w:pStyle w:val="Compact"/>
        <w:numPr>
          <w:ilvl w:val="1"/>
          <w:numId w:val="15"/>
        </w:numPr>
      </w:pPr>
      <w:r>
        <w:t>El imperialismo se expande por crisis internas, contradicciones y erosión de legitimidad en amplias regiones; necesita agresión exterior para sostenerse.</w:t>
      </w:r>
    </w:p>
    <w:p w14:paraId="0E4BA171" w14:textId="77777777" w:rsidR="0047799F" w:rsidRDefault="00000000">
      <w:pPr>
        <w:pStyle w:val="Compact"/>
        <w:numPr>
          <w:ilvl w:val="1"/>
          <w:numId w:val="15"/>
        </w:numPr>
      </w:pPr>
      <w:r>
        <w:t>Cada expansión genera resistencia, que ya no queda aislada: se vuelve internacionalista y crece, incluso dentro de los centros imperialistas.</w:t>
      </w:r>
    </w:p>
    <w:p w14:paraId="067D1CAF" w14:textId="77777777" w:rsidR="0047799F" w:rsidRDefault="00000000">
      <w:pPr>
        <w:numPr>
          <w:ilvl w:val="0"/>
          <w:numId w:val="15"/>
        </w:numPr>
      </w:pPr>
      <w:r>
        <w:t>Desestabilización y fricción</w:t>
      </w:r>
    </w:p>
    <w:p w14:paraId="08C214A2" w14:textId="77777777" w:rsidR="0047799F" w:rsidRDefault="00000000">
      <w:pPr>
        <w:pStyle w:val="Compact"/>
        <w:numPr>
          <w:ilvl w:val="1"/>
          <w:numId w:val="16"/>
        </w:numPr>
      </w:pPr>
      <w:r>
        <w:t>La OTAN intenta sostener un sistema en declive usando la fuerza, pero cada intento genera nuevas fricciones que pueden transformarse en fuerzas políticas organizadas.</w:t>
      </w:r>
    </w:p>
    <w:p w14:paraId="189E4107" w14:textId="77777777" w:rsidR="0047799F" w:rsidRDefault="00000000">
      <w:pPr>
        <w:pStyle w:val="Ttulo3"/>
      </w:pPr>
      <w:bookmarkStart w:id="6" w:name="X4f3a695c3e6d7c4156a8dae888d5c45e9ae575a"/>
      <w:bookmarkEnd w:id="5"/>
      <w:r>
        <w:t>4. Estrategia política y organizativa propuesta</w:t>
      </w:r>
    </w:p>
    <w:p w14:paraId="0A316989" w14:textId="77777777" w:rsidR="0047799F" w:rsidRDefault="00000000">
      <w:pPr>
        <w:numPr>
          <w:ilvl w:val="0"/>
          <w:numId w:val="17"/>
        </w:numPr>
      </w:pPr>
      <w:r>
        <w:t>Objetivos inmediatos y principios</w:t>
      </w:r>
    </w:p>
    <w:p w14:paraId="24AA64E5" w14:textId="77777777" w:rsidR="0047799F" w:rsidRDefault="00000000">
      <w:pPr>
        <w:pStyle w:val="Compact"/>
        <w:numPr>
          <w:ilvl w:val="1"/>
          <w:numId w:val="18"/>
        </w:numPr>
      </w:pPr>
      <w:r>
        <w:t>No a la reforma de la OTAN, no a la adaptación al imperialismo, no a la gestión de sus contradicciones; la tarea es desmantelar la OTAN.</w:t>
      </w:r>
    </w:p>
    <w:p w14:paraId="37ED5A8B" w14:textId="77777777" w:rsidR="0047799F" w:rsidRDefault="00000000">
      <w:pPr>
        <w:pStyle w:val="Compact"/>
        <w:numPr>
          <w:ilvl w:val="1"/>
          <w:numId w:val="18"/>
        </w:numPr>
      </w:pPr>
      <w:r>
        <w:t>Cerrar bases de la OTAN, retirar fuerzas imperialistas, terminar con regímenes intervencionistas y reconocer el derecho de los pueblos a la autodeterminación y reconocimiento pleno.</w:t>
      </w:r>
    </w:p>
    <w:p w14:paraId="27B74690" w14:textId="77777777" w:rsidR="0047799F" w:rsidRDefault="00000000">
      <w:pPr>
        <w:numPr>
          <w:ilvl w:val="0"/>
          <w:numId w:val="18"/>
        </w:numPr>
      </w:pPr>
      <w:r>
        <w:t>Construcción del frente antiimperialista</w:t>
      </w:r>
    </w:p>
    <w:p w14:paraId="3D1AC167" w14:textId="77777777" w:rsidR="0047799F" w:rsidRDefault="00000000">
      <w:pPr>
        <w:pStyle w:val="Compact"/>
        <w:numPr>
          <w:ilvl w:val="1"/>
          <w:numId w:val="19"/>
        </w:numPr>
      </w:pPr>
      <w:r>
        <w:t>Se demanda claridad contra la OTAN, unidad estructural, independencia política de grupos, solidaridad y compromiso de lucha común.</w:t>
      </w:r>
    </w:p>
    <w:p w14:paraId="467A6402" w14:textId="77777777" w:rsidR="0047799F" w:rsidRDefault="00000000">
      <w:pPr>
        <w:pStyle w:val="Compact"/>
        <w:numPr>
          <w:ilvl w:val="1"/>
          <w:numId w:val="19"/>
        </w:numPr>
      </w:pPr>
      <w:r>
        <w:t>Se enfatiza organizarse (jóvenes, hombres, mujeres, revolucionarios), entender la guerra como necesidad del sistema y convertir contradicciones en fuerzas políticas organizadas.</w:t>
      </w:r>
    </w:p>
    <w:p w14:paraId="605B8787" w14:textId="77777777" w:rsidR="0047799F" w:rsidRDefault="00000000">
      <w:pPr>
        <w:numPr>
          <w:ilvl w:val="0"/>
          <w:numId w:val="19"/>
        </w:numPr>
      </w:pPr>
      <w:r>
        <w:t>Temporalidad y urgencia</w:t>
      </w:r>
    </w:p>
    <w:p w14:paraId="326B27FA" w14:textId="77777777" w:rsidR="0047799F" w:rsidRDefault="00000000">
      <w:pPr>
        <w:pStyle w:val="Compact"/>
        <w:numPr>
          <w:ilvl w:val="1"/>
          <w:numId w:val="20"/>
        </w:numPr>
      </w:pPr>
      <w:r>
        <w:t>La acción debe ser ahora, no mañana ni de forma abstracta, ante la construcción de una gran base en Anatolia “para matar a millones” con colaboración gubernamental.</w:t>
      </w:r>
    </w:p>
    <w:p w14:paraId="53E964CE" w14:textId="77777777" w:rsidR="0047799F" w:rsidRDefault="00000000">
      <w:pPr>
        <w:pStyle w:val="Compact"/>
        <w:numPr>
          <w:ilvl w:val="1"/>
          <w:numId w:val="20"/>
        </w:numPr>
      </w:pPr>
      <w:r>
        <w:lastRenderedPageBreak/>
        <w:t>Cada base se puede refutar, cada guerra resistir y cada estructura de dominación romper.</w:t>
      </w:r>
    </w:p>
    <w:p w14:paraId="3BCD1B83" w14:textId="77777777" w:rsidR="0047799F" w:rsidRDefault="00000000">
      <w:pPr>
        <w:pStyle w:val="Ttulo3"/>
      </w:pPr>
      <w:bookmarkStart w:id="7" w:name="X6de683d4a0cb3797e01c6e45003b507cc0f74bb"/>
      <w:bookmarkEnd w:id="6"/>
      <w:r>
        <w:t>5. Llamamientos y consignas</w:t>
      </w:r>
    </w:p>
    <w:p w14:paraId="46A540EA" w14:textId="77777777" w:rsidR="0047799F" w:rsidRDefault="00000000">
      <w:pPr>
        <w:numPr>
          <w:ilvl w:val="0"/>
          <w:numId w:val="21"/>
        </w:numPr>
      </w:pPr>
      <w:r>
        <w:t>Consignas centrales</w:t>
      </w:r>
    </w:p>
    <w:p w14:paraId="4CB8200F" w14:textId="77777777" w:rsidR="0047799F" w:rsidRDefault="00000000">
      <w:pPr>
        <w:pStyle w:val="Compact"/>
        <w:numPr>
          <w:ilvl w:val="1"/>
          <w:numId w:val="22"/>
        </w:numPr>
      </w:pPr>
      <w:r>
        <w:t>“Abajo la OTAN, abajo el imperialismo”; “no a la guerra entre los pueblos”; “no habrá paz en el imperialismo”.</w:t>
      </w:r>
    </w:p>
    <w:p w14:paraId="4EB2AB20" w14:textId="77777777" w:rsidR="0047799F" w:rsidRDefault="00000000">
      <w:pPr>
        <w:pStyle w:val="Compact"/>
        <w:numPr>
          <w:ilvl w:val="1"/>
          <w:numId w:val="22"/>
        </w:numPr>
      </w:pPr>
      <w:r>
        <w:t>“Que viva la unidad de la clase obrera, las naciones oprimidas y los movimientos de la revolución”; “Nos organizamos, resistimos y avanzamos. Hasta la Victoria.”</w:t>
      </w:r>
    </w:p>
    <w:p w14:paraId="375BD600" w14:textId="77777777" w:rsidR="0047799F" w:rsidRDefault="00000000">
      <w:pPr>
        <w:numPr>
          <w:ilvl w:val="0"/>
          <w:numId w:val="22"/>
        </w:numPr>
      </w:pPr>
      <w:r>
        <w:t>Alcance territorial y social de la lucha</w:t>
      </w:r>
    </w:p>
    <w:p w14:paraId="592D7CA4" w14:textId="77777777" w:rsidR="0047799F" w:rsidRDefault="00000000">
      <w:pPr>
        <w:pStyle w:val="Compact"/>
        <w:numPr>
          <w:ilvl w:val="1"/>
          <w:numId w:val="23"/>
        </w:numPr>
      </w:pPr>
      <w:r>
        <w:t>Desde Barcelona hasta Anatolia, Gaza, Donbás, Sahel y América Latina; desde fábricas, universidades, barrios y territorios ocupados, se afirma que la era del poder imperialista se está terminando y los pueblos se mueven hacia organización, resistencia y unidad.</w:t>
      </w:r>
    </w:p>
    <w:p w14:paraId="411373B9" w14:textId="77777777" w:rsidR="0047799F" w:rsidRDefault="00000000">
      <w:pPr>
        <w:pStyle w:val="Ttulo3"/>
      </w:pPr>
      <w:bookmarkStart w:id="8" w:name="X4a48d59fa59dbed0ec602a83b75f0916cd0e767"/>
      <w:bookmarkEnd w:id="7"/>
      <w:r>
        <w:t>6. Contexto de la sesión y participantes</w:t>
      </w:r>
    </w:p>
    <w:p w14:paraId="224B5960" w14:textId="77777777" w:rsidR="0047799F" w:rsidRDefault="00000000">
      <w:pPr>
        <w:numPr>
          <w:ilvl w:val="0"/>
          <w:numId w:val="24"/>
        </w:numPr>
      </w:pPr>
      <w:r>
        <w:t>Panel y participantes</w:t>
      </w:r>
    </w:p>
    <w:p w14:paraId="3FB07132" w14:textId="77777777" w:rsidR="0047799F" w:rsidRDefault="00000000">
      <w:pPr>
        <w:pStyle w:val="Compact"/>
        <w:numPr>
          <w:ilvl w:val="1"/>
          <w:numId w:val="25"/>
        </w:numPr>
      </w:pPr>
      <w:r>
        <w:t>Se inicia con referencia al Frente Antiimperialista, dando la bienvenida a amigos, camaradas y delegados.</w:t>
      </w:r>
    </w:p>
    <w:p w14:paraId="6EF36347" w14:textId="77777777" w:rsidR="0047799F" w:rsidRDefault="00000000">
      <w:pPr>
        <w:pStyle w:val="Compact"/>
        <w:numPr>
          <w:ilvl w:val="1"/>
          <w:numId w:val="25"/>
        </w:numPr>
      </w:pPr>
      <w:r>
        <w:t>Se reconoce el trabajo de traducción y la necesidad de hablar despacio para facilitarlo.</w:t>
      </w:r>
    </w:p>
    <w:p w14:paraId="0A348C03" w14:textId="77777777" w:rsidR="0047799F" w:rsidRDefault="00000000">
      <w:pPr>
        <w:numPr>
          <w:ilvl w:val="0"/>
          <w:numId w:val="25"/>
        </w:numPr>
      </w:pPr>
      <w:r>
        <w:t>Presentación del ponente</w:t>
      </w:r>
    </w:p>
    <w:p w14:paraId="1CEC1440" w14:textId="77777777" w:rsidR="0047799F" w:rsidRDefault="00000000">
      <w:pPr>
        <w:pStyle w:val="Compact"/>
        <w:numPr>
          <w:ilvl w:val="1"/>
          <w:numId w:val="26"/>
        </w:numPr>
      </w:pPr>
      <w:r>
        <w:t>Se anuncia una ronda de preguntas y se presenta a Taher Ali, del País Vasco, de la Asociación/Ateneo Palestino del País Vasco/Euskal Herria.</w:t>
      </w:r>
    </w:p>
    <w:p w14:paraId="27D1A7D4" w14:textId="77777777" w:rsidR="0047799F" w:rsidRDefault="00000000">
      <w:pPr>
        <w:pStyle w:val="Compact"/>
        <w:numPr>
          <w:ilvl w:val="1"/>
          <w:numId w:val="26"/>
        </w:numPr>
      </w:pPr>
      <w:r>
        <w:t>El ponente indica pertenecer a un capítulo en Euskal Herria, con presencia también en el resto del Estado español, y que hablará en castellano.</w:t>
      </w:r>
      <w:bookmarkEnd w:id="0"/>
      <w:bookmarkEnd w:id="2"/>
      <w:bookmarkEnd w:id="8"/>
    </w:p>
    <w:sectPr w:rsidR="0047799F" w:rsidSect="00740852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(正文 CS 字体)">
    <w:altName w:val="宋体"/>
    <w:charset w:val="86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aconnmeros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5E32045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AA0E707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A992"/>
    <w:multiLevelType w:val="multilevel"/>
    <w:tmpl w:val="4AC020C8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1861746836">
    <w:abstractNumId w:val="4"/>
  </w:num>
  <w:num w:numId="6" w16cid:durableId="459610117">
    <w:abstractNumId w:val="5"/>
  </w:num>
  <w:num w:numId="7" w16cid:durableId="1650019064">
    <w:abstractNumId w:val="5"/>
  </w:num>
  <w:num w:numId="8" w16cid:durableId="1460144577">
    <w:abstractNumId w:val="5"/>
  </w:num>
  <w:num w:numId="9" w16cid:durableId="1124498034">
    <w:abstractNumId w:val="5"/>
  </w:num>
  <w:num w:numId="10" w16cid:durableId="326593777">
    <w:abstractNumId w:val="5"/>
  </w:num>
  <w:num w:numId="11" w16cid:durableId="1491558590">
    <w:abstractNumId w:val="5"/>
  </w:num>
  <w:num w:numId="12" w16cid:durableId="712077833">
    <w:abstractNumId w:val="5"/>
  </w:num>
  <w:num w:numId="13" w16cid:durableId="900486696">
    <w:abstractNumId w:val="5"/>
  </w:num>
  <w:num w:numId="14" w16cid:durableId="935526443">
    <w:abstractNumId w:val="5"/>
  </w:num>
  <w:num w:numId="15" w16cid:durableId="1856309223">
    <w:abstractNumId w:val="5"/>
  </w:num>
  <w:num w:numId="16" w16cid:durableId="324749662">
    <w:abstractNumId w:val="5"/>
  </w:num>
  <w:num w:numId="17" w16cid:durableId="901252615">
    <w:abstractNumId w:val="5"/>
  </w:num>
  <w:num w:numId="18" w16cid:durableId="271211898">
    <w:abstractNumId w:val="5"/>
  </w:num>
  <w:num w:numId="19" w16cid:durableId="1367213262">
    <w:abstractNumId w:val="5"/>
  </w:num>
  <w:num w:numId="20" w16cid:durableId="59447208">
    <w:abstractNumId w:val="5"/>
  </w:num>
  <w:num w:numId="21" w16cid:durableId="639192043">
    <w:abstractNumId w:val="5"/>
  </w:num>
  <w:num w:numId="22" w16cid:durableId="548229560">
    <w:abstractNumId w:val="5"/>
  </w:num>
  <w:num w:numId="23" w16cid:durableId="883440873">
    <w:abstractNumId w:val="5"/>
  </w:num>
  <w:num w:numId="24" w16cid:durableId="1493327529">
    <w:abstractNumId w:val="5"/>
  </w:num>
  <w:num w:numId="25" w16cid:durableId="701244005">
    <w:abstractNumId w:val="5"/>
  </w:num>
  <w:num w:numId="26" w16cid:durableId="1583295408">
    <w:abstractNumId w:val="5"/>
  </w:num>
  <w:num w:numId="27" w16cid:durableId="121045426">
    <w:abstractNumId w:val="5"/>
  </w:num>
  <w:num w:numId="28" w16cid:durableId="381174208">
    <w:abstractNumId w:val="6"/>
  </w:num>
  <w:num w:numId="29" w16cid:durableId="1714386657">
    <w:abstractNumId w:val="6"/>
  </w:num>
  <w:num w:numId="30" w16cid:durableId="347144821">
    <w:abstractNumId w:val="6"/>
  </w:num>
  <w:num w:numId="31" w16cid:durableId="315768541">
    <w:abstractNumId w:val="6"/>
  </w:num>
  <w:num w:numId="32" w16cid:durableId="272325353">
    <w:abstractNumId w:val="6"/>
  </w:num>
  <w:num w:numId="33" w16cid:durableId="835808719">
    <w:abstractNumId w:val="6"/>
  </w:num>
  <w:num w:numId="34" w16cid:durableId="281040327">
    <w:abstractNumId w:val="6"/>
  </w:num>
  <w:num w:numId="35" w16cid:durableId="461928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1CC"/>
    <w:rsid w:val="00012906"/>
    <w:rsid w:val="000C1ABD"/>
    <w:rsid w:val="000D1E8A"/>
    <w:rsid w:val="000F3D3C"/>
    <w:rsid w:val="0011788E"/>
    <w:rsid w:val="00167011"/>
    <w:rsid w:val="001824E5"/>
    <w:rsid w:val="001A30C6"/>
    <w:rsid w:val="001B0185"/>
    <w:rsid w:val="001B2E68"/>
    <w:rsid w:val="00271600"/>
    <w:rsid w:val="00275E2C"/>
    <w:rsid w:val="00284976"/>
    <w:rsid w:val="00290063"/>
    <w:rsid w:val="002D5AAF"/>
    <w:rsid w:val="00315AC2"/>
    <w:rsid w:val="00337933"/>
    <w:rsid w:val="00353684"/>
    <w:rsid w:val="00365A06"/>
    <w:rsid w:val="00386B56"/>
    <w:rsid w:val="003E512C"/>
    <w:rsid w:val="003F6589"/>
    <w:rsid w:val="00402858"/>
    <w:rsid w:val="00455D51"/>
    <w:rsid w:val="0047799F"/>
    <w:rsid w:val="004804EF"/>
    <w:rsid w:val="004B1E78"/>
    <w:rsid w:val="004C2AA0"/>
    <w:rsid w:val="004D308B"/>
    <w:rsid w:val="00512CA9"/>
    <w:rsid w:val="005140DE"/>
    <w:rsid w:val="00515E7E"/>
    <w:rsid w:val="005641A8"/>
    <w:rsid w:val="005646E9"/>
    <w:rsid w:val="0057446D"/>
    <w:rsid w:val="00584C65"/>
    <w:rsid w:val="005C33F3"/>
    <w:rsid w:val="00605308"/>
    <w:rsid w:val="006203D4"/>
    <w:rsid w:val="006B04C2"/>
    <w:rsid w:val="00740852"/>
    <w:rsid w:val="007453A1"/>
    <w:rsid w:val="007535F6"/>
    <w:rsid w:val="00786E81"/>
    <w:rsid w:val="007938B8"/>
    <w:rsid w:val="008033E1"/>
    <w:rsid w:val="0085162E"/>
    <w:rsid w:val="00865C7C"/>
    <w:rsid w:val="00900CCC"/>
    <w:rsid w:val="00932E5F"/>
    <w:rsid w:val="00962302"/>
    <w:rsid w:val="00993CBA"/>
    <w:rsid w:val="009A3D3D"/>
    <w:rsid w:val="009E145E"/>
    <w:rsid w:val="00A21265"/>
    <w:rsid w:val="00A625F9"/>
    <w:rsid w:val="00A7127D"/>
    <w:rsid w:val="00A81885"/>
    <w:rsid w:val="00A82518"/>
    <w:rsid w:val="00A8796D"/>
    <w:rsid w:val="00AB1A36"/>
    <w:rsid w:val="00AC75E8"/>
    <w:rsid w:val="00AD4E46"/>
    <w:rsid w:val="00B221B6"/>
    <w:rsid w:val="00B34BC6"/>
    <w:rsid w:val="00B5019A"/>
    <w:rsid w:val="00BF11CC"/>
    <w:rsid w:val="00C1108E"/>
    <w:rsid w:val="00C14B89"/>
    <w:rsid w:val="00C865AB"/>
    <w:rsid w:val="00C9144D"/>
    <w:rsid w:val="00C94844"/>
    <w:rsid w:val="00DB673F"/>
    <w:rsid w:val="00E04222"/>
    <w:rsid w:val="00E07649"/>
    <w:rsid w:val="00E64F6C"/>
    <w:rsid w:val="00EC331D"/>
    <w:rsid w:val="00F15494"/>
    <w:rsid w:val="00F75CC4"/>
    <w:rsid w:val="00FC1DF5"/>
    <w:rsid w:val="00FC30D7"/>
    <w:rsid w:val="00FD44F7"/>
    <w:rsid w:val="00FE2A30"/>
    <w:rsid w:val="F57A143E"/>
    <w:rsid w:val="FF53E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9651"/>
  <w15:docId w15:val="{1408F77D-ACB3-489D-A9A0-A2289211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en-US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Listaconnmeros2">
    <w:name w:val="List Number 2"/>
    <w:basedOn w:val="Normal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Listaconnmeros">
    <w:name w:val="List Number"/>
    <w:basedOn w:val="Normal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styleId="Listaconvietas">
    <w:name w:val="List Bullet"/>
    <w:basedOn w:val="Normal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Listaconvietas2">
    <w:name w:val="List Bullet 2"/>
    <w:basedOn w:val="Normal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Fecha">
    <w:name w:val="Date"/>
    <w:next w:val="Textoindependiente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Subttulo">
    <w:name w:val="Subtitle"/>
    <w:basedOn w:val="Ttulo"/>
    <w:next w:val="Textoindependiente"/>
    <w:link w:val="SubttuloCar"/>
    <w:uiPriority w:val="11"/>
    <w:qFormat/>
    <w:rPr>
      <w:spacing w:val="15"/>
      <w:sz w:val="28"/>
      <w:szCs w:val="28"/>
    </w:rPr>
  </w:style>
  <w:style w:type="paragraph" w:styleId="Ttulo">
    <w:name w:val="Title"/>
    <w:basedOn w:val="Normal"/>
    <w:next w:val="Textoindependiente"/>
    <w:link w:val="TtuloCar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Textonotapie">
    <w:name w:val="footnote text"/>
    <w:basedOn w:val="Normal"/>
    <w:uiPriority w:val="9"/>
    <w:unhideWhenUsed/>
    <w:qFormat/>
  </w:style>
  <w:style w:type="character" w:styleId="Hipervnculo">
    <w:name w:val="Hyperlink"/>
    <w:basedOn w:val="Fuentedeprrafopredeter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DescripcinCar">
    <w:name w:val="Descripción Car"/>
    <w:basedOn w:val="Fuentedeprrafopredeter"/>
    <w:link w:val="Descripcin"/>
  </w:style>
  <w:style w:type="character" w:styleId="Refdenotaalpie">
    <w:name w:val="footnote reference"/>
    <w:basedOn w:val="DescripcinCar"/>
    <w:rPr>
      <w:vertAlign w:val="superscript"/>
    </w:rPr>
  </w:style>
  <w:style w:type="paragraph" w:customStyle="1" w:styleId="FirstParagraph">
    <w:name w:val="First Paragraph"/>
    <w:basedOn w:val="Textoindependiente"/>
    <w:next w:val="Textoindependiente"/>
    <w:qFormat/>
    <w:rsid w:val="00962302"/>
    <w:pPr>
      <w:spacing w:before="240"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">
    <w:name w:val="书目1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Normal"/>
    <w:rsid w:val="00962302"/>
    <w:rPr>
      <w:color w:val="000000" w:themeColor="text1"/>
    </w:rPr>
  </w:style>
  <w:style w:type="paragraph" w:customStyle="1" w:styleId="TableCaption">
    <w:name w:val="Table Caption"/>
    <w:basedOn w:val="Descripcin"/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DescripcinCar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DescripcinCar"/>
  </w:style>
  <w:style w:type="paragraph" w:customStyle="1" w:styleId="TOC1">
    <w:name w:val="TOC 标题1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Hipervnculovisitado">
    <w:name w:val="FollowedHyperlink"/>
    <w:basedOn w:val="Fuentedeprrafopredeter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973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Pablo Martin Galiana</cp:lastModifiedBy>
  <cp:revision>2</cp:revision>
  <dcterms:created xsi:type="dcterms:W3CDTF">2026-07-06T08:28:00Z</dcterms:created>
  <dcterms:modified xsi:type="dcterms:W3CDTF">2026-07-06T08:32:00Z</dcterms:modified>
</cp:coreProperties>
</file>